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7041" w14:textId="68750209" w:rsidR="00044F26" w:rsidRPr="00CF7DD1" w:rsidRDefault="00044F26" w:rsidP="00CF7DD1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1C3C33">
        <w:rPr>
          <w:rFonts w:ascii="Arial" w:eastAsia="Times New Roman" w:hAnsi="Arial" w:cs="Arial"/>
          <w:noProof/>
          <w:sz w:val="21"/>
          <w:szCs w:val="21"/>
          <w:lang w:eastAsia="pt-BR"/>
        </w:rPr>
        <w:t>61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1C3C33">
        <w:rPr>
          <w:rFonts w:ascii="Arial" w:eastAsia="Times New Roman" w:hAnsi="Arial" w:cs="Arial"/>
          <w:noProof/>
          <w:sz w:val="21"/>
          <w:szCs w:val="21"/>
          <w:lang w:eastAsia="pt-BR"/>
        </w:rPr>
        <w:t>02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1C3C33">
        <w:rPr>
          <w:rFonts w:ascii="Arial" w:eastAsia="Times New Roman" w:hAnsi="Arial" w:cs="Arial"/>
          <w:noProof/>
          <w:sz w:val="21"/>
          <w:szCs w:val="21"/>
          <w:lang w:eastAsia="pt-BR"/>
        </w:rPr>
        <w:t>JANEI</w:t>
      </w:r>
      <w:r w:rsidR="00B213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RO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404F31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77F4788" w14:textId="77777777" w:rsidR="00044F26" w:rsidRPr="00CF7DD1" w:rsidRDefault="00044F26" w:rsidP="00CF7DD1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8E7DEAF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left="5103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Autoriza a contratação temporária de servidores, por excepcional interesse público, e dá outras providências.</w:t>
      </w:r>
    </w:p>
    <w:p w14:paraId="3256B4D8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3649112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041E27C6" w14:textId="293B09A2" w:rsidR="00F45502" w:rsidRPr="00CF7DD1" w:rsidRDefault="00F4550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Art. 1º.</w:t>
      </w:r>
      <w:r w:rsidRPr="00CF7DD1">
        <w:rPr>
          <w:rFonts w:ascii="Arial" w:hAnsi="Arial" w:cs="Arial"/>
          <w:sz w:val="21"/>
          <w:szCs w:val="21"/>
        </w:rPr>
        <w:t xml:space="preserve"> Fica o Poder Executivo Municipal autorizado a contratar servidores, através de contrato administrativo de serviço temporário, por excepcional interesse público, em conformidade com o disposto no art. 37, inciso IX, da Const</w:t>
      </w:r>
      <w:r w:rsidR="001C3C33">
        <w:rPr>
          <w:rFonts w:ascii="Arial" w:hAnsi="Arial" w:cs="Arial"/>
          <w:sz w:val="21"/>
          <w:szCs w:val="21"/>
        </w:rPr>
        <w:t xml:space="preserve">ituição Federal de 1988, art. 65, inciso IX, da Emenda à </w:t>
      </w:r>
      <w:r w:rsidRPr="00CF7DD1">
        <w:rPr>
          <w:rFonts w:ascii="Arial" w:hAnsi="Arial" w:cs="Arial"/>
          <w:sz w:val="21"/>
          <w:szCs w:val="21"/>
        </w:rPr>
        <w:t>Lei Orgânica Municipal</w:t>
      </w:r>
      <w:r w:rsidR="001C3C33">
        <w:rPr>
          <w:rFonts w:ascii="Arial" w:hAnsi="Arial" w:cs="Arial"/>
          <w:sz w:val="21"/>
          <w:szCs w:val="21"/>
        </w:rPr>
        <w:t>, nº 01, de 15 de outubro de 2024,</w:t>
      </w:r>
      <w:r w:rsidRPr="00CF7DD1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CF7DD1">
        <w:rPr>
          <w:rFonts w:ascii="Arial" w:hAnsi="Arial" w:cs="Arial"/>
          <w:sz w:val="21"/>
          <w:szCs w:val="21"/>
        </w:rPr>
        <w:t>arts</w:t>
      </w:r>
      <w:proofErr w:type="spellEnd"/>
      <w:r w:rsidRPr="00CF7DD1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CF7DD1">
          <w:rPr>
            <w:rFonts w:ascii="Arial" w:hAnsi="Arial" w:cs="Arial"/>
            <w:sz w:val="21"/>
            <w:szCs w:val="21"/>
          </w:rPr>
          <w:t>195 a</w:t>
        </w:r>
      </w:smartTag>
      <w:r w:rsidRPr="00CF7DD1">
        <w:rPr>
          <w:rFonts w:ascii="Arial" w:hAnsi="Arial" w:cs="Arial"/>
          <w:sz w:val="21"/>
          <w:szCs w:val="21"/>
        </w:rPr>
        <w:t xml:space="preserve"> 201 da Lei Municipal nº 986/2011, para suprir a necessidade emergencial de pessoal das Secretarias Municipais,</w:t>
      </w:r>
      <w:r w:rsidR="00B96E1E" w:rsidRPr="00CF7DD1">
        <w:rPr>
          <w:rFonts w:ascii="Arial" w:hAnsi="Arial" w:cs="Arial"/>
          <w:sz w:val="21"/>
          <w:szCs w:val="21"/>
        </w:rPr>
        <w:t xml:space="preserve"> pelo prazo de 12 (doze) meses a partir da contratação, prorrogável por igual período, </w:t>
      </w:r>
      <w:r w:rsidRPr="00CF7DD1">
        <w:rPr>
          <w:rFonts w:ascii="Arial" w:hAnsi="Arial" w:cs="Arial"/>
          <w:sz w:val="21"/>
          <w:szCs w:val="21"/>
        </w:rPr>
        <w:t>para as categorias funcionais, com a carga horária semanal, quantidade de vagas</w:t>
      </w:r>
      <w:r w:rsidR="00F20033">
        <w:rPr>
          <w:rFonts w:ascii="Arial" w:hAnsi="Arial" w:cs="Arial"/>
          <w:sz w:val="21"/>
          <w:szCs w:val="21"/>
        </w:rPr>
        <w:t xml:space="preserve"> </w:t>
      </w:r>
      <w:r w:rsidRPr="00CF7DD1">
        <w:rPr>
          <w:rFonts w:ascii="Arial" w:hAnsi="Arial" w:cs="Arial"/>
          <w:sz w:val="21"/>
          <w:szCs w:val="21"/>
        </w:rPr>
        <w:t>e vencimentos, conforme demonstrativo a seguir: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842"/>
        <w:gridCol w:w="2552"/>
      </w:tblGrid>
      <w:tr w:rsidR="001C3C33" w:rsidRPr="00CF7DD1" w14:paraId="0A88E4CC" w14:textId="77777777" w:rsidTr="00EE00B4">
        <w:tc>
          <w:tcPr>
            <w:tcW w:w="3119" w:type="dxa"/>
            <w:shd w:val="clear" w:color="auto" w:fill="E6E6E6"/>
          </w:tcPr>
          <w:p w14:paraId="13E88E4E" w14:textId="77777777" w:rsidR="001C3C33" w:rsidRPr="00CF7DD1" w:rsidRDefault="001C3C33" w:rsidP="00CE728C">
            <w:pPr>
              <w:pStyle w:val="Ttulo1"/>
              <w:overflowPunct w:val="0"/>
              <w:autoSpaceDE w:val="0"/>
              <w:autoSpaceDN w:val="0"/>
              <w:adjustRightInd w:val="0"/>
              <w:spacing w:after="120" w:line="280" w:lineRule="exact"/>
              <w:jc w:val="left"/>
              <w:textAlignment w:val="baseline"/>
              <w:rPr>
                <w:rFonts w:ascii="Arial" w:hAnsi="Arial" w:cs="Arial"/>
                <w:b w:val="0"/>
                <w:sz w:val="21"/>
              </w:rPr>
            </w:pPr>
            <w:r w:rsidRPr="00CF7DD1">
              <w:rPr>
                <w:rFonts w:ascii="Arial" w:hAnsi="Arial" w:cs="Arial"/>
                <w:b w:val="0"/>
                <w:sz w:val="21"/>
              </w:rPr>
              <w:t>Categoria Funcional</w:t>
            </w:r>
          </w:p>
        </w:tc>
        <w:tc>
          <w:tcPr>
            <w:tcW w:w="1843" w:type="dxa"/>
            <w:shd w:val="clear" w:color="auto" w:fill="E6E6E6"/>
          </w:tcPr>
          <w:p w14:paraId="5BA802BA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842" w:type="dxa"/>
            <w:shd w:val="clear" w:color="auto" w:fill="E6E6E6"/>
          </w:tcPr>
          <w:p w14:paraId="577D82D8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2552" w:type="dxa"/>
            <w:shd w:val="clear" w:color="auto" w:fill="E6E6E6"/>
          </w:tcPr>
          <w:p w14:paraId="05117A2E" w14:textId="35D21B16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1C3C33" w:rsidRPr="00CF7DD1" w14:paraId="29F5322E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E0E6C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Motorista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C146F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8BFF0" w14:textId="7D2D044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83D51" w14:textId="5757E49D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1.659,91</w:t>
            </w:r>
          </w:p>
        </w:tc>
      </w:tr>
      <w:tr w:rsidR="001C3C33" w:rsidRPr="00CF7DD1" w14:paraId="7B25E03A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2DBD0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Operador de Máquinas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790E2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EB2A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3ABE2" w14:textId="740643FF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2.259,62</w:t>
            </w:r>
          </w:p>
        </w:tc>
      </w:tr>
      <w:tr w:rsidR="001C3C33" w:rsidRPr="00CF7DD1" w14:paraId="7BC9C7D9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81D42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Operador de Trator Agrícola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677B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9D949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AC3E" w14:textId="4B782AED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1.659,91</w:t>
            </w:r>
          </w:p>
        </w:tc>
      </w:tr>
      <w:tr w:rsidR="001C3C33" w:rsidRPr="00CF7DD1" w14:paraId="401171D0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4BD75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Operário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4DB16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5D3EC" w14:textId="29A0587E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00B61" w14:textId="76843C06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1.435,02</w:t>
            </w:r>
          </w:p>
        </w:tc>
      </w:tr>
      <w:tr w:rsidR="001C3C33" w:rsidRPr="00CF7DD1" w14:paraId="013E9DA3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80FC7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Operário Especializado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22F9D" w14:textId="77777777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90A6" w14:textId="60A9BDF8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EF877" w14:textId="6E0FB1F0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1.435,02</w:t>
            </w:r>
          </w:p>
        </w:tc>
      </w:tr>
      <w:tr w:rsidR="001C3C33" w:rsidRPr="00CF7DD1" w14:paraId="0A1A21DB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ECAF" w14:textId="2045192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Psicólogo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3D436" w14:textId="4227FF98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20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0DEE7" w14:textId="339B3BB5" w:rsidR="001C3C33" w:rsidRDefault="001C3C33" w:rsidP="00CE728C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D25A7" w14:textId="28EBA87F" w:rsidR="001C3C33" w:rsidRPr="00CF7DD1" w:rsidRDefault="001C3C33" w:rsidP="00CE728C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3.769,60</w:t>
            </w:r>
          </w:p>
        </w:tc>
      </w:tr>
      <w:tr w:rsidR="001C3C33" w:rsidRPr="00CF7DD1" w14:paraId="266456EF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E833D" w14:textId="04FB7C22" w:rsidR="001C3C33" w:rsidRDefault="001C3C33" w:rsidP="001C3C33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Servente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D67F8" w14:textId="3ED5DA13" w:rsidR="001C3C33" w:rsidRDefault="001C3C33" w:rsidP="001C3C33">
            <w:pPr>
              <w:spacing w:after="120" w:line="280" w:lineRule="exact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A6066" w14:textId="2D1BEDCF" w:rsidR="001C3C33" w:rsidRDefault="001C3C33" w:rsidP="001C3C33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0DABD" w14:textId="02190BDA" w:rsidR="001C3C33" w:rsidRPr="00CF7DD1" w:rsidRDefault="001C3C33" w:rsidP="001C3C33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1.349,35</w:t>
            </w:r>
          </w:p>
        </w:tc>
      </w:tr>
    </w:tbl>
    <w:p w14:paraId="5A3236BA" w14:textId="77777777" w:rsidR="00F45502" w:rsidRPr="00CF7DD1" w:rsidRDefault="00F4550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Parágrafo único. As quantidades de vagas e período de contratações são estimativos, sendo que o início do prazo da contratação e a quantidade de contratados ficará a critério da Administração Municipal, podendo ambos serem inferiores e no máximo até os limites previstos no </w:t>
      </w:r>
      <w:r w:rsidRPr="00CF7DD1">
        <w:rPr>
          <w:rFonts w:ascii="Arial" w:hAnsi="Arial" w:cs="Arial"/>
          <w:i/>
          <w:sz w:val="21"/>
          <w:szCs w:val="21"/>
        </w:rPr>
        <w:t>caput</w:t>
      </w:r>
      <w:r w:rsidRPr="00CF7DD1">
        <w:rPr>
          <w:rFonts w:ascii="Arial" w:hAnsi="Arial" w:cs="Arial"/>
          <w:sz w:val="21"/>
          <w:szCs w:val="21"/>
        </w:rPr>
        <w:t xml:space="preserve"> deste artigo.</w:t>
      </w:r>
    </w:p>
    <w:p w14:paraId="536A6678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Art. 2º.</w:t>
      </w:r>
      <w:r w:rsidRPr="00CF7DD1">
        <w:rPr>
          <w:rFonts w:ascii="Arial" w:hAnsi="Arial" w:cs="Arial"/>
          <w:sz w:val="21"/>
          <w:szCs w:val="21"/>
        </w:rPr>
        <w:t xml:space="preserve"> As contratações de que trata esta Lei regem-se pelas disposições contidas nas Leis Municipais </w:t>
      </w:r>
      <w:proofErr w:type="spellStart"/>
      <w:r w:rsidR="00F45502" w:rsidRPr="00CF7DD1">
        <w:rPr>
          <w:rFonts w:ascii="Arial" w:hAnsi="Arial" w:cs="Arial"/>
          <w:sz w:val="21"/>
          <w:szCs w:val="21"/>
        </w:rPr>
        <w:t>nº</w:t>
      </w:r>
      <w:r w:rsidR="00F45502" w:rsidRPr="00CF7DD1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CF7DD1">
        <w:rPr>
          <w:rFonts w:ascii="Arial" w:hAnsi="Arial" w:cs="Arial"/>
          <w:sz w:val="21"/>
          <w:szCs w:val="21"/>
        </w:rPr>
        <w:t xml:space="preserve"> 986, de 10 de outubro de 2011 (Regime Jurídico dos Servidores) e 987, de 10 de outubro de 2011 (Plano de Carreira dos Servidores), com as respectivas alterações, nas quais estão previstas as atribuições, requisitos para provimento, direitos, deveres e proibições de cada categoria funcional objeto de contratação.</w:t>
      </w:r>
    </w:p>
    <w:p w14:paraId="33E9FA49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 xml:space="preserve">Art. 3º. </w:t>
      </w:r>
      <w:r w:rsidRPr="00CF7DD1">
        <w:rPr>
          <w:rFonts w:ascii="Arial" w:hAnsi="Arial" w:cs="Arial"/>
          <w:sz w:val="21"/>
          <w:szCs w:val="21"/>
        </w:rPr>
        <w:t>As contratações de que tratam esta Lei serão efetivadas com o aproveitamento de servidores classificados em concurso público ou em processos seletivos em vigência realizados pela Administração Municipal, ou precedidas de processo seletivo simplificado na forma estabelecida na Resolução nº 1051/2015 do Tribunal de Contas do Estado do Rio Grande do Sul – TCE/RS.</w:t>
      </w:r>
    </w:p>
    <w:p w14:paraId="3233A38E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 xml:space="preserve">Art. 4º. </w:t>
      </w:r>
      <w:r w:rsidRPr="00CF7DD1">
        <w:rPr>
          <w:rFonts w:ascii="Arial" w:hAnsi="Arial" w:cs="Arial"/>
          <w:sz w:val="21"/>
          <w:szCs w:val="21"/>
        </w:rPr>
        <w:t xml:space="preserve">Qualquer candidato poderá efetuar inscrição para mais de uma categoria funcional prevista no art. 1º desta Lei, ficando assegurado o direito de realização de prova escrita ou </w:t>
      </w:r>
      <w:r w:rsidRPr="00CF7DD1">
        <w:rPr>
          <w:rFonts w:ascii="Arial" w:hAnsi="Arial" w:cs="Arial"/>
          <w:sz w:val="21"/>
          <w:szCs w:val="21"/>
        </w:rPr>
        <w:lastRenderedPageBreak/>
        <w:t>prática, e apresentação de títulos, se houver, em horários diferenciados, de forma a permitir sua participação em todas as fases do processo seletivo.</w:t>
      </w:r>
    </w:p>
    <w:p w14:paraId="02163AAF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Parágrafo único. A contratação e posse do candidato em mais de uma categoria funcional somente será efetivada se observados os requisitos de acumulação remunerada de cargos e compatibilidade de horários, previstos no art. 37, inciso XVI, alíneas “a”, “b” e “c” da Constituição Federal.</w:t>
      </w:r>
    </w:p>
    <w:p w14:paraId="29D5F29D" w14:textId="77777777" w:rsidR="00070456" w:rsidRDefault="00840261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Art. 5</w:t>
      </w:r>
      <w:r w:rsidR="00070456" w:rsidRPr="00CF7DD1">
        <w:rPr>
          <w:rFonts w:ascii="Arial" w:hAnsi="Arial" w:cs="Arial"/>
          <w:b/>
          <w:sz w:val="21"/>
          <w:szCs w:val="21"/>
        </w:rPr>
        <w:t xml:space="preserve">º. </w:t>
      </w:r>
      <w:r w:rsidR="00070456" w:rsidRPr="00CF7DD1">
        <w:rPr>
          <w:rFonts w:ascii="Arial" w:hAnsi="Arial" w:cs="Arial"/>
          <w:sz w:val="21"/>
          <w:szCs w:val="21"/>
        </w:rPr>
        <w:t>Os contratos de que trata esta Lei poderão ser rescindidos antes do prazo fixado para o seu término se houver a possibilidade de provimento dos cargos através de servidores aprovados em concurso público, ou no interesse da Administração Municipal, mediante notificação expressa do contratado com antecedência mínima de 05 (cinco) dias.</w:t>
      </w:r>
    </w:p>
    <w:p w14:paraId="3EE711B6" w14:textId="3855FFF2" w:rsidR="00D25FD0" w:rsidRPr="00AE3497" w:rsidRDefault="00D25FD0" w:rsidP="00D25FD0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6</w:t>
      </w:r>
      <w:r w:rsidRPr="00AE3497">
        <w:rPr>
          <w:rFonts w:ascii="Arial" w:hAnsi="Arial" w:cs="Arial"/>
          <w:b/>
          <w:sz w:val="21"/>
          <w:szCs w:val="21"/>
        </w:rPr>
        <w:t xml:space="preserve">º. </w:t>
      </w:r>
      <w:r>
        <w:rPr>
          <w:rFonts w:ascii="Arial" w:hAnsi="Arial" w:cs="Arial"/>
          <w:sz w:val="21"/>
          <w:szCs w:val="21"/>
        </w:rPr>
        <w:t>No valor</w:t>
      </w:r>
      <w:r w:rsidRPr="00AE3497">
        <w:rPr>
          <w:rFonts w:ascii="Arial" w:hAnsi="Arial" w:cs="Arial"/>
          <w:sz w:val="21"/>
          <w:szCs w:val="21"/>
        </w:rPr>
        <w:t xml:space="preserve"> do</w:t>
      </w:r>
      <w:r>
        <w:rPr>
          <w:rFonts w:ascii="Arial" w:hAnsi="Arial" w:cs="Arial"/>
          <w:sz w:val="21"/>
          <w:szCs w:val="21"/>
        </w:rPr>
        <w:t xml:space="preserve"> vencimento mensal estipulado</w:t>
      </w:r>
      <w:r w:rsidRPr="00AE3497">
        <w:rPr>
          <w:rFonts w:ascii="Arial" w:hAnsi="Arial" w:cs="Arial"/>
          <w:sz w:val="21"/>
          <w:szCs w:val="21"/>
        </w:rPr>
        <w:t xml:space="preserve"> no art. 1º desta Lei será aplicado o percentual de revisão geral e anual, que será concedido no mês de janeiro de 202</w:t>
      </w:r>
      <w:r>
        <w:rPr>
          <w:rFonts w:ascii="Arial" w:hAnsi="Arial" w:cs="Arial"/>
          <w:sz w:val="21"/>
          <w:szCs w:val="21"/>
        </w:rPr>
        <w:t>5</w:t>
      </w:r>
      <w:r w:rsidRPr="00AE3497">
        <w:rPr>
          <w:rFonts w:ascii="Arial" w:hAnsi="Arial" w:cs="Arial"/>
          <w:sz w:val="21"/>
          <w:szCs w:val="21"/>
        </w:rPr>
        <w:t>, conforme determina a Lei Municipal nº 410, de 06 de setembro de 2002, com alteração da Lei Municipal nº 1.174, de 27 de fevereiro de 2015.</w:t>
      </w:r>
    </w:p>
    <w:p w14:paraId="0FC93CDE" w14:textId="230D9CAB" w:rsidR="00070456" w:rsidRPr="00CF7DD1" w:rsidRDefault="00092445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7</w:t>
      </w:r>
      <w:r w:rsidR="00070456" w:rsidRPr="00CF7DD1">
        <w:rPr>
          <w:rFonts w:ascii="Arial" w:hAnsi="Arial" w:cs="Arial"/>
          <w:b/>
          <w:sz w:val="21"/>
          <w:szCs w:val="21"/>
        </w:rPr>
        <w:t xml:space="preserve">º. </w:t>
      </w:r>
      <w:r w:rsidR="00070456" w:rsidRPr="00CF7DD1">
        <w:rPr>
          <w:rFonts w:ascii="Arial" w:hAnsi="Arial" w:cs="Arial"/>
          <w:sz w:val="21"/>
          <w:szCs w:val="21"/>
        </w:rPr>
        <w:t>As despesas decorrentes da aplicação desta Lei correrão à conta das dotações orçamentárias constantes no orçamento vigente, nos elementos orçamentários de acordo com a Secretaria Municipal de lotação determinada em cada categoria funcional</w:t>
      </w:r>
      <w:r w:rsidR="00840261" w:rsidRPr="00CF7DD1">
        <w:rPr>
          <w:rFonts w:ascii="Arial" w:hAnsi="Arial" w:cs="Arial"/>
          <w:sz w:val="21"/>
          <w:szCs w:val="21"/>
        </w:rPr>
        <w:t xml:space="preserve"> do contratado</w:t>
      </w:r>
      <w:r w:rsidR="00070456" w:rsidRPr="00CF7DD1">
        <w:rPr>
          <w:rFonts w:ascii="Arial" w:hAnsi="Arial" w:cs="Arial"/>
          <w:sz w:val="21"/>
          <w:szCs w:val="21"/>
        </w:rPr>
        <w:t>.</w:t>
      </w:r>
    </w:p>
    <w:p w14:paraId="3630D43C" w14:textId="22F78BCF" w:rsidR="00840261" w:rsidRPr="00CF7DD1" w:rsidRDefault="00092445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8</w:t>
      </w:r>
      <w:r w:rsidR="00840261" w:rsidRPr="00CF7DD1">
        <w:rPr>
          <w:rFonts w:ascii="Arial" w:hAnsi="Arial" w:cs="Arial"/>
          <w:b/>
          <w:sz w:val="21"/>
          <w:szCs w:val="21"/>
        </w:rPr>
        <w:t>º.</w:t>
      </w:r>
      <w:r w:rsidR="00840261" w:rsidRPr="00CF7DD1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0A4AD57F" w14:textId="5D2CD0B8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EE00B4">
        <w:rPr>
          <w:rFonts w:ascii="Arial" w:hAnsi="Arial" w:cs="Arial"/>
          <w:sz w:val="21"/>
          <w:szCs w:val="21"/>
        </w:rPr>
        <w:t>02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EE00B4">
        <w:rPr>
          <w:rFonts w:ascii="Arial" w:hAnsi="Arial" w:cs="Arial"/>
          <w:sz w:val="21"/>
          <w:szCs w:val="21"/>
        </w:rPr>
        <w:t xml:space="preserve">janeiro </w:t>
      </w:r>
      <w:r w:rsidRPr="00CF7DD1">
        <w:rPr>
          <w:rFonts w:ascii="Arial" w:hAnsi="Arial" w:cs="Arial"/>
          <w:sz w:val="21"/>
          <w:szCs w:val="21"/>
        </w:rPr>
        <w:t>de 202</w:t>
      </w:r>
      <w:r w:rsidR="00EE00B4">
        <w:rPr>
          <w:rFonts w:ascii="Arial" w:hAnsi="Arial" w:cs="Arial"/>
          <w:sz w:val="21"/>
          <w:szCs w:val="21"/>
        </w:rPr>
        <w:t>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73ED187D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9D16BD1" w14:textId="77777777" w:rsidR="00CB7840" w:rsidRPr="00CF7DD1" w:rsidRDefault="00CB7840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222D3C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42E1763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4743FA78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5ECAEB4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3F6F274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C0156C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B029C70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E38441C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F99D4B1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B816112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D75B00E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6EFCB9F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6377FD" w14:textId="77777777" w:rsidR="00BA5B1B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AFF0DF6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5C76352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D3A092C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67EA24C" w14:textId="77777777" w:rsidR="00CF7DD1" w:rsidRP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2B49351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4844D7C" w14:textId="7553FEB9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JUSTIFICATIVA DO 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EE00B4">
        <w:rPr>
          <w:rFonts w:ascii="Arial" w:eastAsia="Times New Roman" w:hAnsi="Arial" w:cs="Arial"/>
          <w:noProof/>
          <w:sz w:val="21"/>
          <w:szCs w:val="21"/>
          <w:lang w:eastAsia="pt-BR"/>
        </w:rPr>
        <w:t>61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EE00B4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29D7DB1" w14:textId="77777777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EEBD282" w14:textId="33040EDD" w:rsidR="00761208" w:rsidRDefault="00070456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Apresentamos Projeto de Lei para contratação temporária de servidores, conforme justificativa</w:t>
      </w:r>
      <w:r w:rsidRPr="00CF7DD1">
        <w:rPr>
          <w:rFonts w:ascii="Arial" w:eastAsia="Times New Roman" w:hAnsi="Arial" w:cs="Arial"/>
          <w:sz w:val="21"/>
          <w:szCs w:val="21"/>
          <w:lang w:eastAsia="pt-BR"/>
        </w:rPr>
        <w:t xml:space="preserve"> d</w:t>
      </w:r>
      <w:r w:rsidRPr="00CF7DD1">
        <w:rPr>
          <w:rFonts w:ascii="Arial" w:hAnsi="Arial" w:cs="Arial"/>
          <w:sz w:val="21"/>
          <w:szCs w:val="21"/>
        </w:rPr>
        <w:t>a necessidade das respectivas categ</w:t>
      </w:r>
      <w:r w:rsidR="00761208">
        <w:rPr>
          <w:rFonts w:ascii="Arial" w:hAnsi="Arial" w:cs="Arial"/>
          <w:sz w:val="21"/>
          <w:szCs w:val="21"/>
        </w:rPr>
        <w:t xml:space="preserve">orias funcionais de acordo com </w:t>
      </w:r>
      <w:r w:rsidR="00DE02A7">
        <w:rPr>
          <w:rFonts w:ascii="Arial" w:hAnsi="Arial" w:cs="Arial"/>
          <w:sz w:val="21"/>
          <w:szCs w:val="21"/>
        </w:rPr>
        <w:t>a exposição a seguir</w:t>
      </w:r>
      <w:r w:rsidR="00761208">
        <w:rPr>
          <w:rFonts w:ascii="Arial" w:hAnsi="Arial" w:cs="Arial"/>
          <w:sz w:val="21"/>
          <w:szCs w:val="21"/>
        </w:rPr>
        <w:t>.</w:t>
      </w:r>
    </w:p>
    <w:p w14:paraId="0D93E5A4" w14:textId="4840C212" w:rsidR="00CA1EE2" w:rsidRDefault="00CA1EE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contratação desses profissionais é necessária devido a aquisição de novos veículos e máquinas no último ano. Além disso possuímos também servidores afastados por motivos de saúde e que precisam ser substituídos. Somado a isso a demanda de serviços tem aumentado em todas as secretarias gerando a necessidade de novas contratações para suprir </w:t>
      </w:r>
      <w:r w:rsidR="00FF50F6">
        <w:rPr>
          <w:rFonts w:ascii="Arial" w:hAnsi="Arial" w:cs="Arial"/>
          <w:sz w:val="21"/>
          <w:szCs w:val="21"/>
        </w:rPr>
        <w:t>os atendimentos solicitados pela</w:t>
      </w:r>
      <w:r>
        <w:rPr>
          <w:rFonts w:ascii="Arial" w:hAnsi="Arial" w:cs="Arial"/>
          <w:sz w:val="21"/>
          <w:szCs w:val="21"/>
        </w:rPr>
        <w:t xml:space="preserve"> população.</w:t>
      </w:r>
    </w:p>
    <w:p w14:paraId="38E0BD83" w14:textId="3CA45997" w:rsidR="00CA1EE2" w:rsidRDefault="00CA1EE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Salienta</w:t>
      </w:r>
      <w:r w:rsidR="00694074">
        <w:rPr>
          <w:rFonts w:ascii="Arial" w:hAnsi="Arial" w:cs="Arial"/>
          <w:sz w:val="21"/>
          <w:szCs w:val="21"/>
        </w:rPr>
        <w:t>-s</w:t>
      </w:r>
      <w:r>
        <w:rPr>
          <w:rFonts w:ascii="Arial" w:hAnsi="Arial" w:cs="Arial"/>
          <w:sz w:val="21"/>
          <w:szCs w:val="21"/>
        </w:rPr>
        <w:t>e ainda que o número de vagas autorizadas não será preenchido de imediato, pois já estamos nos precavendo para situações que ocorrem corriqueiramente durante o ano, em que servidores precisam ser substituídos devido a afas</w:t>
      </w:r>
      <w:r w:rsidR="00CA2A14">
        <w:rPr>
          <w:rFonts w:ascii="Arial" w:hAnsi="Arial" w:cs="Arial"/>
          <w:sz w:val="21"/>
          <w:szCs w:val="21"/>
        </w:rPr>
        <w:t>tamentos por pequenos períodos, e também para suprir a vacância de cargos devido o encerramento dos contratos ao final de 2024</w:t>
      </w:r>
      <w:r>
        <w:rPr>
          <w:rFonts w:ascii="Arial" w:hAnsi="Arial" w:cs="Arial"/>
          <w:sz w:val="21"/>
          <w:szCs w:val="21"/>
        </w:rPr>
        <w:t xml:space="preserve">, evitando </w:t>
      </w:r>
      <w:r w:rsidR="00D25FD0">
        <w:rPr>
          <w:rFonts w:ascii="Arial" w:hAnsi="Arial" w:cs="Arial"/>
          <w:sz w:val="21"/>
          <w:szCs w:val="21"/>
        </w:rPr>
        <w:t xml:space="preserve">assim </w:t>
      </w:r>
      <w:r>
        <w:rPr>
          <w:rFonts w:ascii="Arial" w:hAnsi="Arial" w:cs="Arial"/>
          <w:sz w:val="21"/>
          <w:szCs w:val="21"/>
        </w:rPr>
        <w:t>prejuízos na prest</w:t>
      </w:r>
      <w:r w:rsidR="00694074">
        <w:rPr>
          <w:rFonts w:ascii="Arial" w:hAnsi="Arial" w:cs="Arial"/>
          <w:sz w:val="21"/>
          <w:szCs w:val="21"/>
        </w:rPr>
        <w:t>ação de serviço aos munícipes.</w:t>
      </w:r>
    </w:p>
    <w:p w14:paraId="27F78B96" w14:textId="04CD0590" w:rsidR="00761208" w:rsidRDefault="00761208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044F26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mportante ressaltar que as contratações</w:t>
      </w:r>
      <w:r w:rsidR="00D36D58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temporárias </w:t>
      </w:r>
      <w:r w:rsidR="00002E32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er</w:t>
      </w:r>
      <w:r w:rsidR="00002E32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ão precedidas de processo seletivo simplificado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Assim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, desde já informamos que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as categorais funcionais objeto de contratação aqui propostas,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temos processo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seletivo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para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ambos 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cargo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s, com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candidato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classificado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 para convocação (Edital nº 106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/2024)</w:t>
      </w:r>
      <w:r w:rsidR="0069407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ADB72A7" w14:textId="77777777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consideramos demonstrada a necessidade das contratações temporárias propostas neste Projeto de Lei, para o qual solicitamos a aprovação dos Senhores Vereadores.</w:t>
      </w:r>
    </w:p>
    <w:p w14:paraId="1FCA2A37" w14:textId="7E223AAE" w:rsidR="00CF7DD1" w:rsidRP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GABINETE DO PREFEIT</w:t>
      </w:r>
      <w:r w:rsidR="00DE02A7">
        <w:rPr>
          <w:rFonts w:ascii="Arial" w:hAnsi="Arial" w:cs="Arial"/>
          <w:sz w:val="21"/>
          <w:szCs w:val="21"/>
        </w:rPr>
        <w:t>O MUNICIPAL DE ESTRELA VELHA, 02 de janeiro de 2025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29C246A4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D1CC012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30138BE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0EAD8CC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sectPr w:rsidR="00CF7DD1" w:rsidRPr="00CF7DD1" w:rsidSect="00BA5B1B">
      <w:headerReference w:type="default" r:id="rId7"/>
      <w:footerReference w:type="default" r:id="rId8"/>
      <w:pgSz w:w="11906" w:h="16838" w:code="9"/>
      <w:pgMar w:top="2552" w:right="1134" w:bottom="993" w:left="1418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1613A" w14:textId="77777777" w:rsidR="0029294A" w:rsidRDefault="0029294A">
      <w:pPr>
        <w:spacing w:after="0" w:line="240" w:lineRule="auto"/>
      </w:pPr>
      <w:r>
        <w:separator/>
      </w:r>
    </w:p>
  </w:endnote>
  <w:endnote w:type="continuationSeparator" w:id="0">
    <w:p w14:paraId="65A07621" w14:textId="77777777" w:rsidR="0029294A" w:rsidRDefault="0029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AEC8D" w14:textId="77777777" w:rsidR="007A65C7" w:rsidRPr="007A65C7" w:rsidRDefault="00A949E6" w:rsidP="007A65C7">
    <w:pPr>
      <w:pStyle w:val="Rodap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ACE36" wp14:editId="5AC5BD31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EBF78A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1481A156" w14:textId="77777777"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14:paraId="4C1717FD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404F31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9D45" w14:textId="77777777" w:rsidR="0029294A" w:rsidRDefault="0029294A">
      <w:pPr>
        <w:spacing w:after="0" w:line="240" w:lineRule="auto"/>
      </w:pPr>
      <w:r>
        <w:separator/>
      </w:r>
    </w:p>
  </w:footnote>
  <w:footnote w:type="continuationSeparator" w:id="0">
    <w:p w14:paraId="0A17F3F0" w14:textId="77777777" w:rsidR="0029294A" w:rsidRDefault="0029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6DCC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AE39C0" wp14:editId="14EA6407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7E7A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78DEC283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14D91B6C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C1BF5" wp14:editId="0E9987C8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1441C3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2E32"/>
    <w:rsid w:val="00005704"/>
    <w:rsid w:val="00011DA5"/>
    <w:rsid w:val="00013DB3"/>
    <w:rsid w:val="00044F26"/>
    <w:rsid w:val="000606F8"/>
    <w:rsid w:val="00063A0D"/>
    <w:rsid w:val="00070456"/>
    <w:rsid w:val="00073F3D"/>
    <w:rsid w:val="00080A5E"/>
    <w:rsid w:val="00092445"/>
    <w:rsid w:val="000B1289"/>
    <w:rsid w:val="000E1CA0"/>
    <w:rsid w:val="00103704"/>
    <w:rsid w:val="0012484C"/>
    <w:rsid w:val="00161A1C"/>
    <w:rsid w:val="00166873"/>
    <w:rsid w:val="001C0A38"/>
    <w:rsid w:val="001C3C33"/>
    <w:rsid w:val="001C4630"/>
    <w:rsid w:val="001D1C62"/>
    <w:rsid w:val="001D2B2C"/>
    <w:rsid w:val="001D479F"/>
    <w:rsid w:val="001E133B"/>
    <w:rsid w:val="0020299E"/>
    <w:rsid w:val="00232030"/>
    <w:rsid w:val="00237011"/>
    <w:rsid w:val="00261C44"/>
    <w:rsid w:val="0029294A"/>
    <w:rsid w:val="0029496D"/>
    <w:rsid w:val="002C5BA9"/>
    <w:rsid w:val="003073E6"/>
    <w:rsid w:val="00354651"/>
    <w:rsid w:val="003A1FE3"/>
    <w:rsid w:val="003A75C3"/>
    <w:rsid w:val="003D5436"/>
    <w:rsid w:val="003F3575"/>
    <w:rsid w:val="00404F31"/>
    <w:rsid w:val="00443441"/>
    <w:rsid w:val="004524A4"/>
    <w:rsid w:val="004542BC"/>
    <w:rsid w:val="00497259"/>
    <w:rsid w:val="004A3E8C"/>
    <w:rsid w:val="004D2783"/>
    <w:rsid w:val="004F546E"/>
    <w:rsid w:val="00501B33"/>
    <w:rsid w:val="005064AF"/>
    <w:rsid w:val="005317CC"/>
    <w:rsid w:val="00582F3A"/>
    <w:rsid w:val="00586574"/>
    <w:rsid w:val="00587255"/>
    <w:rsid w:val="005C1FF4"/>
    <w:rsid w:val="005D0B73"/>
    <w:rsid w:val="0061262B"/>
    <w:rsid w:val="006426F2"/>
    <w:rsid w:val="00661432"/>
    <w:rsid w:val="00666888"/>
    <w:rsid w:val="00694074"/>
    <w:rsid w:val="006943D8"/>
    <w:rsid w:val="006E70DB"/>
    <w:rsid w:val="006F2AA2"/>
    <w:rsid w:val="00704D72"/>
    <w:rsid w:val="00713455"/>
    <w:rsid w:val="00753804"/>
    <w:rsid w:val="00761208"/>
    <w:rsid w:val="00770FB7"/>
    <w:rsid w:val="007756FB"/>
    <w:rsid w:val="00776984"/>
    <w:rsid w:val="00791FE1"/>
    <w:rsid w:val="00797228"/>
    <w:rsid w:val="00797497"/>
    <w:rsid w:val="007A65C7"/>
    <w:rsid w:val="007D3E73"/>
    <w:rsid w:val="007E669D"/>
    <w:rsid w:val="007F1C65"/>
    <w:rsid w:val="00806B71"/>
    <w:rsid w:val="00823DB8"/>
    <w:rsid w:val="00833C36"/>
    <w:rsid w:val="00833D94"/>
    <w:rsid w:val="00840261"/>
    <w:rsid w:val="00863B9E"/>
    <w:rsid w:val="00887D50"/>
    <w:rsid w:val="00897E11"/>
    <w:rsid w:val="008C5B3F"/>
    <w:rsid w:val="008D1FAC"/>
    <w:rsid w:val="008F256E"/>
    <w:rsid w:val="008F535D"/>
    <w:rsid w:val="0091493D"/>
    <w:rsid w:val="009255AF"/>
    <w:rsid w:val="00927CB5"/>
    <w:rsid w:val="00927E75"/>
    <w:rsid w:val="009427B5"/>
    <w:rsid w:val="00981304"/>
    <w:rsid w:val="009A521B"/>
    <w:rsid w:val="00A270FE"/>
    <w:rsid w:val="00A949E6"/>
    <w:rsid w:val="00AB0B35"/>
    <w:rsid w:val="00AB1368"/>
    <w:rsid w:val="00AB43F3"/>
    <w:rsid w:val="00AB48C4"/>
    <w:rsid w:val="00AC07EB"/>
    <w:rsid w:val="00AD7F71"/>
    <w:rsid w:val="00AE3497"/>
    <w:rsid w:val="00B07C86"/>
    <w:rsid w:val="00B2131B"/>
    <w:rsid w:val="00B25085"/>
    <w:rsid w:val="00B327EA"/>
    <w:rsid w:val="00B43869"/>
    <w:rsid w:val="00B5784D"/>
    <w:rsid w:val="00B61EC3"/>
    <w:rsid w:val="00B82AD5"/>
    <w:rsid w:val="00B84761"/>
    <w:rsid w:val="00B960F5"/>
    <w:rsid w:val="00B96E1E"/>
    <w:rsid w:val="00BA5B1B"/>
    <w:rsid w:val="00BB0E15"/>
    <w:rsid w:val="00BE5151"/>
    <w:rsid w:val="00BF0F1A"/>
    <w:rsid w:val="00C05CEE"/>
    <w:rsid w:val="00C117A0"/>
    <w:rsid w:val="00C24293"/>
    <w:rsid w:val="00C42309"/>
    <w:rsid w:val="00C52BA4"/>
    <w:rsid w:val="00C6391B"/>
    <w:rsid w:val="00CA1EE2"/>
    <w:rsid w:val="00CA2A14"/>
    <w:rsid w:val="00CB505B"/>
    <w:rsid w:val="00CB7840"/>
    <w:rsid w:val="00CD0441"/>
    <w:rsid w:val="00CE3C92"/>
    <w:rsid w:val="00CE728C"/>
    <w:rsid w:val="00CF7DD1"/>
    <w:rsid w:val="00D00BFE"/>
    <w:rsid w:val="00D1032D"/>
    <w:rsid w:val="00D25FD0"/>
    <w:rsid w:val="00D36D58"/>
    <w:rsid w:val="00D65766"/>
    <w:rsid w:val="00D717D4"/>
    <w:rsid w:val="00D769E1"/>
    <w:rsid w:val="00DA3621"/>
    <w:rsid w:val="00DA46E1"/>
    <w:rsid w:val="00DC5DDF"/>
    <w:rsid w:val="00DE02A7"/>
    <w:rsid w:val="00DF37E1"/>
    <w:rsid w:val="00E00205"/>
    <w:rsid w:val="00E35137"/>
    <w:rsid w:val="00E71F1A"/>
    <w:rsid w:val="00E85FFA"/>
    <w:rsid w:val="00EA0B11"/>
    <w:rsid w:val="00EE00B4"/>
    <w:rsid w:val="00F20033"/>
    <w:rsid w:val="00F25982"/>
    <w:rsid w:val="00F43493"/>
    <w:rsid w:val="00F45502"/>
    <w:rsid w:val="00F6153B"/>
    <w:rsid w:val="00F64B73"/>
    <w:rsid w:val="00F94BE7"/>
    <w:rsid w:val="00FE4094"/>
    <w:rsid w:val="00FF50F6"/>
    <w:rsid w:val="00FF54D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FBDDB8"/>
  <w15:docId w15:val="{DD50DEEA-0C7F-4580-A8DC-0901F46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2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07C86"/>
    <w:pPr>
      <w:keepNext/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07C86"/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7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7A80-F333-4DE5-A187-0C398B0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4</cp:revision>
  <cp:lastPrinted>2025-01-02T13:54:00Z</cp:lastPrinted>
  <dcterms:created xsi:type="dcterms:W3CDTF">2025-01-02T13:21:00Z</dcterms:created>
  <dcterms:modified xsi:type="dcterms:W3CDTF">2025-01-02T14:15:00Z</dcterms:modified>
</cp:coreProperties>
</file>